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2024 119 vom 15. Januar 2025</w:t>
      </w:r>
    </w:p>
    <w:p>
      <w:r>
        <w:t>BL Gerichte, 2025-01-15, DE</w:t>
      </w:r>
    </w:p>
    <w:p>
      <w:r>
        <w:rPr>
          <w:b/>
        </w:rPr>
        <w:t xml:space="preserve">Quelle: </w:t>
      </w:r>
      <w:r>
        <w:t>https://mcp.opencaselaw.ch/entscheid/bl_gerichte_810 2024 119</w:t>
      </w:r>
    </w:p>
    <w:p>
      <w:r>
        <w:t>FR: BL_GERICHTE 810 2024 119 du 15 janvier 2025</w:t>
      </w:r>
    </w:p>
    <w:p>
      <w:r>
        <w:t>IT: BL_GERICHTE 810 2024 119 del 15 gennaio 2025</w:t>
      </w:r>
    </w:p>
    <w:p>
      <w:pPr>
        <w:pStyle w:val="Heading2"/>
      </w:pPr>
      <w:r>
        <w:t>Regeste</w:t>
      </w:r>
    </w:p>
    <w:p>
      <w:r>
        <w:t>Verweigerung einer Aufenthaltsbewilligung zwecks Verbleib bei der in der Schweiz wohnhaften Tochter / Aufenthaltsanspruch gemäss Art. 8 EMRK; Voraussetzung eines besonderen Abhängigkeitsverhältnisses / Rentnerbewilligung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Streitgegenstand bildet die Frage, ob die Nichterteilung der Aufenthaltsbewilligung und die Wegweisung der Beschwerdeführerin aus der Schweiz zu Recht erfolgten.</w:t>
      </w:r>
    </w:p>
    <w:p>
      <w:r>
        <w:rPr>
          <w:b/>
        </w:rPr>
        <w:t>E. 3</w:t>
      </w:r>
    </w:p>
    <w:p>
      <w:r>
        <w:t>Die Parteikosten werden wettzuschlagen. Präsidentin Gerichtsschreiber Gegen diesen Entscheid wurde am 24. Februar 2025 Beschwerde beim Bundesgericht (Verfahrensnummer 2C_122/2025)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